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78D5C" w14:textId="20D4FFCB" w:rsidR="00C737EB" w:rsidRDefault="00C737E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Por Craig S. </w:t>
      </w:r>
      <w:proofErr w:type="spellStart"/>
      <w:r>
        <w:rPr>
          <w:rFonts w:ascii="Times New Roman" w:hAnsi="Times New Roman" w:cs="Times New Roman"/>
          <w:lang w:val="es-ES"/>
        </w:rPr>
        <w:t>Keener</w:t>
      </w:r>
      <w:proofErr w:type="spellEnd"/>
    </w:p>
    <w:p w14:paraId="3979B05C" w14:textId="2819E844" w:rsidR="00C737EB" w:rsidRDefault="00C737E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Traducido por Alberto Bonilla-</w:t>
      </w:r>
      <w:proofErr w:type="spellStart"/>
      <w:r>
        <w:rPr>
          <w:rFonts w:ascii="Times New Roman" w:hAnsi="Times New Roman" w:cs="Times New Roman"/>
          <w:lang w:val="es-ES"/>
        </w:rPr>
        <w:t>Giovanetti</w:t>
      </w:r>
      <w:proofErr w:type="spellEnd"/>
    </w:p>
    <w:p w14:paraId="04F044E9" w14:textId="5AD4F51B" w:rsidR="00AF40C9" w:rsidRPr="00AF40C9" w:rsidRDefault="00AF40C9">
      <w:pPr>
        <w:rPr>
          <w:rFonts w:ascii="Times New Roman" w:hAnsi="Times New Roman" w:cs="Times New Roman"/>
        </w:rPr>
      </w:pPr>
      <w:r w:rsidRPr="00AF40C9">
        <w:rPr>
          <w:rFonts w:ascii="Times New Roman" w:hAnsi="Times New Roman" w:cs="Times New Roman"/>
        </w:rPr>
        <w:t>“Pentecost as a Reversal of Babel”</w:t>
      </w:r>
    </w:p>
    <w:p w14:paraId="2BDB33B9" w14:textId="135BFB54" w:rsidR="00C737EB" w:rsidRPr="00AF40C9" w:rsidRDefault="00C737EB">
      <w:pPr>
        <w:rPr>
          <w:rFonts w:ascii="Times New Roman" w:hAnsi="Times New Roman" w:cs="Times New Roman"/>
        </w:rPr>
      </w:pPr>
    </w:p>
    <w:p w14:paraId="6F3FDD6A" w14:textId="57F0B130" w:rsidR="00C737EB" w:rsidRPr="00C737EB" w:rsidRDefault="00C737EB" w:rsidP="00C737EB">
      <w:pPr>
        <w:jc w:val="center"/>
        <w:rPr>
          <w:rFonts w:ascii="Times New Roman" w:hAnsi="Times New Roman" w:cs="Times New Roman"/>
          <w:lang w:val="es-ES"/>
        </w:rPr>
      </w:pPr>
      <w:r w:rsidRPr="00C737EB">
        <w:rPr>
          <w:rFonts w:ascii="Times New Roman" w:hAnsi="Times New Roman" w:cs="Times New Roman"/>
          <w:lang w:val="es-ES"/>
        </w:rPr>
        <w:t>Pentecostés</w:t>
      </w:r>
      <w:r w:rsidRPr="00C737EB">
        <w:rPr>
          <w:rFonts w:ascii="Times New Roman" w:hAnsi="Times New Roman" w:cs="Times New Roman"/>
          <w:lang w:val="es-ES"/>
        </w:rPr>
        <w:t xml:space="preserve"> como una </w:t>
      </w:r>
      <w:r w:rsidRPr="00C737EB">
        <w:rPr>
          <w:rFonts w:ascii="Times New Roman" w:hAnsi="Times New Roman" w:cs="Times New Roman"/>
          <w:lang w:val="es-ES"/>
        </w:rPr>
        <w:t>Inversión</w:t>
      </w:r>
      <w:r w:rsidRPr="00C737EB">
        <w:rPr>
          <w:rFonts w:ascii="Times New Roman" w:hAnsi="Times New Roman" w:cs="Times New Roman"/>
          <w:lang w:val="es-ES"/>
        </w:rPr>
        <w:t xml:space="preserve"> de Babel</w:t>
      </w:r>
    </w:p>
    <w:p w14:paraId="4AC5850E" w14:textId="0EAA2BA9" w:rsidR="00C737EB" w:rsidRDefault="00C737EB">
      <w:pPr>
        <w:rPr>
          <w:rFonts w:ascii="Times New Roman" w:hAnsi="Times New Roman" w:cs="Times New Roman"/>
          <w:lang w:val="es-ES"/>
        </w:rPr>
      </w:pPr>
    </w:p>
    <w:p w14:paraId="3159B53B" w14:textId="35511E05" w:rsidR="003A04E0" w:rsidRDefault="003A04E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Leer desde la perspectiva de </w:t>
      </w:r>
      <w:r w:rsidR="00D53B0A">
        <w:rPr>
          <w:rFonts w:ascii="Times New Roman" w:hAnsi="Times New Roman" w:cs="Times New Roman"/>
          <w:lang w:val="es-ES"/>
        </w:rPr>
        <w:t>Pentecostés</w:t>
      </w:r>
      <w:r>
        <w:rPr>
          <w:rFonts w:ascii="Times New Roman" w:hAnsi="Times New Roman" w:cs="Times New Roman"/>
          <w:lang w:val="es-ES"/>
        </w:rPr>
        <w:t xml:space="preserve"> también significa </w:t>
      </w:r>
      <w:r w:rsidR="00424244">
        <w:rPr>
          <w:rFonts w:ascii="Times New Roman" w:hAnsi="Times New Roman" w:cs="Times New Roman"/>
          <w:lang w:val="es-ES"/>
        </w:rPr>
        <w:t xml:space="preserve">tener una lectura que cruza culturas y </w:t>
      </w:r>
      <w:r w:rsidR="0082561F">
        <w:rPr>
          <w:rFonts w:ascii="Times New Roman" w:hAnsi="Times New Roman" w:cs="Times New Roman"/>
          <w:lang w:val="es-ES"/>
        </w:rPr>
        <w:t xml:space="preserve">tiene </w:t>
      </w:r>
      <w:r w:rsidR="00EC3FDC">
        <w:rPr>
          <w:rFonts w:ascii="Times New Roman" w:hAnsi="Times New Roman" w:cs="Times New Roman"/>
          <w:lang w:val="es-ES"/>
        </w:rPr>
        <w:t xml:space="preserve">una </w:t>
      </w:r>
      <w:r w:rsidR="0082561F">
        <w:rPr>
          <w:rFonts w:ascii="Times New Roman" w:hAnsi="Times New Roman" w:cs="Times New Roman"/>
          <w:lang w:val="es-ES"/>
        </w:rPr>
        <w:t xml:space="preserve">sensibilidad global. </w:t>
      </w:r>
      <w:r w:rsidR="00EC3FDC">
        <w:rPr>
          <w:rFonts w:ascii="Times New Roman" w:hAnsi="Times New Roman" w:cs="Times New Roman"/>
          <w:lang w:val="es-ES"/>
        </w:rPr>
        <w:t>Pentecostés</w:t>
      </w:r>
      <w:r w:rsidR="0082561F">
        <w:rPr>
          <w:rFonts w:ascii="Times New Roman" w:hAnsi="Times New Roman" w:cs="Times New Roman"/>
          <w:lang w:val="es-ES"/>
        </w:rPr>
        <w:t xml:space="preserve"> es para todos los pueblos; su repetición entre los Samaritanos (8:14–17) y Gentiles (10:44–48) enfatiza que los creyentes </w:t>
      </w:r>
      <w:r w:rsidR="00890840">
        <w:rPr>
          <w:rFonts w:ascii="Times New Roman" w:hAnsi="Times New Roman" w:cs="Times New Roman"/>
          <w:lang w:val="es-ES"/>
        </w:rPr>
        <w:t>que vienen de</w:t>
      </w:r>
      <w:r w:rsidR="00D55FF7">
        <w:rPr>
          <w:rFonts w:ascii="Times New Roman" w:hAnsi="Times New Roman" w:cs="Times New Roman"/>
          <w:lang w:val="es-ES"/>
        </w:rPr>
        <w:t xml:space="preserve"> nuevos grupos de personas también reciben poder para la misión y se convierten en </w:t>
      </w:r>
      <w:r w:rsidR="00CA7344">
        <w:rPr>
          <w:rFonts w:ascii="Times New Roman" w:hAnsi="Times New Roman" w:cs="Times New Roman"/>
          <w:lang w:val="es-ES"/>
        </w:rPr>
        <w:t xml:space="preserve">colaboradores en la misión con los creyentes </w:t>
      </w:r>
      <w:r w:rsidR="00890840">
        <w:rPr>
          <w:rFonts w:ascii="Times New Roman" w:hAnsi="Times New Roman" w:cs="Times New Roman"/>
          <w:lang w:val="es-ES"/>
        </w:rPr>
        <w:t>originales</w:t>
      </w:r>
      <w:r w:rsidR="00CA7344">
        <w:rPr>
          <w:rFonts w:ascii="Times New Roman" w:hAnsi="Times New Roman" w:cs="Times New Roman"/>
          <w:lang w:val="es-ES"/>
        </w:rPr>
        <w:t>.</w:t>
      </w:r>
    </w:p>
    <w:p w14:paraId="45505529" w14:textId="35DFE1AF" w:rsidR="00CA7344" w:rsidRDefault="00CA7344">
      <w:pPr>
        <w:rPr>
          <w:rFonts w:ascii="Times New Roman" w:hAnsi="Times New Roman" w:cs="Times New Roman"/>
          <w:lang w:val="es-ES"/>
        </w:rPr>
      </w:pPr>
    </w:p>
    <w:p w14:paraId="68E1BD9B" w14:textId="3CBB7EA0" w:rsidR="00CA7344" w:rsidRDefault="00CA734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Muchos académicos </w:t>
      </w:r>
      <w:r w:rsidR="00804172">
        <w:rPr>
          <w:rFonts w:ascii="Times New Roman" w:hAnsi="Times New Roman" w:cs="Times New Roman"/>
          <w:lang w:val="es-ES"/>
        </w:rPr>
        <w:t xml:space="preserve">entienden que Hechos 2 es una inversión de la historia de Babel y creen que Lucas </w:t>
      </w:r>
      <w:r w:rsidR="00445827">
        <w:rPr>
          <w:rFonts w:ascii="Times New Roman" w:hAnsi="Times New Roman" w:cs="Times New Roman"/>
          <w:lang w:val="es-ES"/>
        </w:rPr>
        <w:t xml:space="preserve">siguió </w:t>
      </w:r>
      <w:r w:rsidR="00890840">
        <w:rPr>
          <w:rFonts w:ascii="Times New Roman" w:hAnsi="Times New Roman" w:cs="Times New Roman"/>
          <w:lang w:val="es-ES"/>
        </w:rPr>
        <w:t xml:space="preserve">el patrón de </w:t>
      </w:r>
      <w:r w:rsidR="00445827">
        <w:rPr>
          <w:rFonts w:ascii="Times New Roman" w:hAnsi="Times New Roman" w:cs="Times New Roman"/>
          <w:lang w:val="es-ES"/>
        </w:rPr>
        <w:t xml:space="preserve">esta historia para su narrativa; algunos comentaristas antiguos también hicieron la misma </w:t>
      </w:r>
      <w:r w:rsidR="00E27ADD">
        <w:rPr>
          <w:rFonts w:ascii="Times New Roman" w:hAnsi="Times New Roman" w:cs="Times New Roman"/>
          <w:lang w:val="es-ES"/>
        </w:rPr>
        <w:t>conexión</w:t>
      </w:r>
      <w:r w:rsidR="00445827">
        <w:rPr>
          <w:rFonts w:ascii="Times New Roman" w:hAnsi="Times New Roman" w:cs="Times New Roman"/>
          <w:lang w:val="es-ES"/>
        </w:rPr>
        <w:t xml:space="preserve">. </w:t>
      </w:r>
      <w:r w:rsidR="00E27ADD">
        <w:rPr>
          <w:rFonts w:ascii="Times New Roman" w:hAnsi="Times New Roman" w:cs="Times New Roman"/>
          <w:lang w:val="es-ES"/>
        </w:rPr>
        <w:t xml:space="preserve">Esta perspectiva de seguro encajaría con </w:t>
      </w:r>
      <w:r w:rsidR="00886957">
        <w:rPr>
          <w:rFonts w:ascii="Times New Roman" w:hAnsi="Times New Roman" w:cs="Times New Roman"/>
          <w:lang w:val="es-ES"/>
        </w:rPr>
        <w:t>la perspectiva d</w:t>
      </w:r>
      <w:r w:rsidR="00890840">
        <w:rPr>
          <w:rFonts w:ascii="Times New Roman" w:hAnsi="Times New Roman" w:cs="Times New Roman"/>
          <w:lang w:val="es-ES"/>
        </w:rPr>
        <w:t>e</w:t>
      </w:r>
      <w:r w:rsidR="00CB0F41">
        <w:rPr>
          <w:rFonts w:ascii="Times New Roman" w:hAnsi="Times New Roman" w:cs="Times New Roman"/>
          <w:lang w:val="es-ES"/>
        </w:rPr>
        <w:t xml:space="preserve"> Lucas de que la misión transciende barreras culturales y </w:t>
      </w:r>
      <w:r w:rsidR="00361378">
        <w:rPr>
          <w:rFonts w:ascii="Times New Roman" w:hAnsi="Times New Roman" w:cs="Times New Roman"/>
          <w:lang w:val="es-ES"/>
        </w:rPr>
        <w:t>lingüísticas</w:t>
      </w:r>
      <w:r w:rsidR="00CB0F41">
        <w:rPr>
          <w:rFonts w:ascii="Times New Roman" w:hAnsi="Times New Roman" w:cs="Times New Roman"/>
          <w:lang w:val="es-ES"/>
        </w:rPr>
        <w:t xml:space="preserve">. </w:t>
      </w:r>
      <w:r w:rsidR="005C1C98">
        <w:rPr>
          <w:rFonts w:ascii="Times New Roman" w:hAnsi="Times New Roman" w:cs="Times New Roman"/>
          <w:lang w:val="es-ES"/>
        </w:rPr>
        <w:t xml:space="preserve">Algunos se oponen a esto y dicen </w:t>
      </w:r>
      <w:r w:rsidR="00361378">
        <w:rPr>
          <w:rFonts w:ascii="Times New Roman" w:hAnsi="Times New Roman" w:cs="Times New Roman"/>
          <w:lang w:val="es-ES"/>
        </w:rPr>
        <w:t>que,</w:t>
      </w:r>
      <w:r w:rsidR="005C1C98">
        <w:rPr>
          <w:rFonts w:ascii="Times New Roman" w:hAnsi="Times New Roman" w:cs="Times New Roman"/>
          <w:lang w:val="es-ES"/>
        </w:rPr>
        <w:t xml:space="preserve"> aunque puede que </w:t>
      </w:r>
      <w:r w:rsidR="004349F2">
        <w:rPr>
          <w:rFonts w:ascii="Times New Roman" w:hAnsi="Times New Roman" w:cs="Times New Roman"/>
          <w:lang w:val="es-ES"/>
        </w:rPr>
        <w:t>uno haga una</w:t>
      </w:r>
      <w:r w:rsidR="005C1C98">
        <w:rPr>
          <w:rFonts w:ascii="Times New Roman" w:hAnsi="Times New Roman" w:cs="Times New Roman"/>
          <w:lang w:val="es-ES"/>
        </w:rPr>
        <w:t xml:space="preserve"> conexión</w:t>
      </w:r>
      <w:r w:rsidR="00444493">
        <w:rPr>
          <w:rFonts w:ascii="Times New Roman" w:hAnsi="Times New Roman" w:cs="Times New Roman"/>
          <w:lang w:val="es-ES"/>
        </w:rPr>
        <w:t xml:space="preserve"> teológica</w:t>
      </w:r>
      <w:r w:rsidR="005C1C98">
        <w:rPr>
          <w:rFonts w:ascii="Times New Roman" w:hAnsi="Times New Roman" w:cs="Times New Roman"/>
          <w:lang w:val="es-ES"/>
        </w:rPr>
        <w:t xml:space="preserve"> legitima </w:t>
      </w:r>
      <w:r w:rsidR="00B12A62">
        <w:rPr>
          <w:rFonts w:ascii="Times New Roman" w:hAnsi="Times New Roman" w:cs="Times New Roman"/>
          <w:lang w:val="es-ES"/>
        </w:rPr>
        <w:t>en cuanto al uso de</w:t>
      </w:r>
      <w:r w:rsidR="005F6CA5">
        <w:rPr>
          <w:rFonts w:ascii="Times New Roman" w:hAnsi="Times New Roman" w:cs="Times New Roman"/>
          <w:lang w:val="es-ES"/>
        </w:rPr>
        <w:t xml:space="preserve"> las fuentes de</w:t>
      </w:r>
      <w:r w:rsidR="00B12A62">
        <w:rPr>
          <w:rFonts w:ascii="Times New Roman" w:hAnsi="Times New Roman" w:cs="Times New Roman"/>
          <w:lang w:val="es-ES"/>
        </w:rPr>
        <w:t xml:space="preserve"> Lucas</w:t>
      </w:r>
      <w:r w:rsidR="005F6CA5">
        <w:rPr>
          <w:rFonts w:ascii="Times New Roman" w:hAnsi="Times New Roman" w:cs="Times New Roman"/>
          <w:lang w:val="es-ES"/>
        </w:rPr>
        <w:t xml:space="preserve"> u otros</w:t>
      </w:r>
      <w:r w:rsidR="00B12A62">
        <w:rPr>
          <w:rFonts w:ascii="Times New Roman" w:hAnsi="Times New Roman" w:cs="Times New Roman"/>
          <w:lang w:val="es-ES"/>
        </w:rPr>
        <w:t>, el texto no da indicios de que Lucas mismo hizo esta conexión.</w:t>
      </w:r>
    </w:p>
    <w:p w14:paraId="14C8C666" w14:textId="756FE296" w:rsidR="00B12A62" w:rsidRDefault="00B12A62">
      <w:pPr>
        <w:rPr>
          <w:rFonts w:ascii="Times New Roman" w:hAnsi="Times New Roman" w:cs="Times New Roman"/>
          <w:lang w:val="es-ES"/>
        </w:rPr>
      </w:pPr>
    </w:p>
    <w:p w14:paraId="605482C9" w14:textId="7AA46411" w:rsidR="00B12A62" w:rsidRDefault="00763C4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Yo argumento, sin embargo, de que la acumulación de varias alusiones especificas son razón suficiente para afirmar una conexión deliberada</w:t>
      </w:r>
      <w:r w:rsidR="008C3C83">
        <w:rPr>
          <w:rFonts w:ascii="Times New Roman" w:hAnsi="Times New Roman" w:cs="Times New Roman"/>
          <w:lang w:val="es-ES"/>
        </w:rPr>
        <w:t xml:space="preserve">, y Lucas incluso ofrece alusiones sutiles sobre la estructura de la narrativa. </w:t>
      </w:r>
      <w:r w:rsidR="00DA259B">
        <w:rPr>
          <w:rFonts w:ascii="Times New Roman" w:hAnsi="Times New Roman" w:cs="Times New Roman"/>
          <w:lang w:val="es-ES"/>
        </w:rPr>
        <w:t xml:space="preserve">Si concluimos que la tabla de naciones en </w:t>
      </w:r>
      <w:r w:rsidR="009F38B5">
        <w:rPr>
          <w:rFonts w:ascii="Times New Roman" w:hAnsi="Times New Roman" w:cs="Times New Roman"/>
          <w:lang w:val="es-ES"/>
        </w:rPr>
        <w:t>Génesis</w:t>
      </w:r>
      <w:r w:rsidR="00DA259B">
        <w:rPr>
          <w:rFonts w:ascii="Times New Roman" w:hAnsi="Times New Roman" w:cs="Times New Roman"/>
          <w:lang w:val="es-ES"/>
        </w:rPr>
        <w:t xml:space="preserve"> 10 informa la lista de naciones de Lucas en Hechos 2:9–11 (como Gen 10 informa la mayoría de </w:t>
      </w:r>
      <w:r w:rsidR="003172DB">
        <w:rPr>
          <w:rFonts w:ascii="Times New Roman" w:hAnsi="Times New Roman" w:cs="Times New Roman"/>
          <w:lang w:val="es-ES"/>
        </w:rPr>
        <w:t>las listas de naciones en el judaísmo</w:t>
      </w:r>
      <w:r w:rsidR="00DA259B">
        <w:rPr>
          <w:rFonts w:ascii="Times New Roman" w:hAnsi="Times New Roman" w:cs="Times New Roman"/>
          <w:lang w:val="es-ES"/>
        </w:rPr>
        <w:t>)</w:t>
      </w:r>
      <w:r w:rsidR="003172DB">
        <w:rPr>
          <w:rFonts w:ascii="Times New Roman" w:hAnsi="Times New Roman" w:cs="Times New Roman"/>
          <w:lang w:val="es-ES"/>
        </w:rPr>
        <w:t xml:space="preserve">, una alusión a Babel en Gen 11:1–9 en el mismo </w:t>
      </w:r>
      <w:r w:rsidR="009F38B5">
        <w:rPr>
          <w:rFonts w:ascii="Times New Roman" w:hAnsi="Times New Roman" w:cs="Times New Roman"/>
          <w:lang w:val="es-ES"/>
        </w:rPr>
        <w:t>contexto</w:t>
      </w:r>
      <w:r w:rsidR="003172DB">
        <w:rPr>
          <w:rFonts w:ascii="Times New Roman" w:hAnsi="Times New Roman" w:cs="Times New Roman"/>
          <w:lang w:val="es-ES"/>
        </w:rPr>
        <w:t xml:space="preserve"> parece probable. </w:t>
      </w:r>
      <w:r w:rsidR="006E229F">
        <w:rPr>
          <w:rFonts w:ascii="Times New Roman" w:hAnsi="Times New Roman" w:cs="Times New Roman"/>
          <w:lang w:val="es-ES"/>
        </w:rPr>
        <w:t>Esta sugerencia se convierte a</w:t>
      </w:r>
      <w:r w:rsidR="00F527CC">
        <w:rPr>
          <w:rFonts w:ascii="Times New Roman" w:hAnsi="Times New Roman" w:cs="Times New Roman"/>
          <w:lang w:val="es-ES"/>
        </w:rPr>
        <w:t>ú</w:t>
      </w:r>
      <w:r w:rsidR="006E229F">
        <w:rPr>
          <w:rFonts w:ascii="Times New Roman" w:hAnsi="Times New Roman" w:cs="Times New Roman"/>
          <w:lang w:val="es-ES"/>
        </w:rPr>
        <w:t>n m</w:t>
      </w:r>
      <w:r w:rsidR="00F527CC">
        <w:rPr>
          <w:rFonts w:ascii="Times New Roman" w:hAnsi="Times New Roman" w:cs="Times New Roman"/>
          <w:lang w:val="es-ES"/>
        </w:rPr>
        <w:t>á</w:t>
      </w:r>
      <w:r w:rsidR="006E229F">
        <w:rPr>
          <w:rFonts w:ascii="Times New Roman" w:hAnsi="Times New Roman" w:cs="Times New Roman"/>
          <w:lang w:val="es-ES"/>
        </w:rPr>
        <w:t xml:space="preserve">s probable cuando consideramos que Babel representa la única </w:t>
      </w:r>
      <w:r w:rsidR="0065072B">
        <w:rPr>
          <w:rFonts w:ascii="Times New Roman" w:hAnsi="Times New Roman" w:cs="Times New Roman"/>
          <w:lang w:val="es-ES"/>
        </w:rPr>
        <w:t>dispersión</w:t>
      </w:r>
      <w:r w:rsidR="006E229F">
        <w:rPr>
          <w:rFonts w:ascii="Times New Roman" w:hAnsi="Times New Roman" w:cs="Times New Roman"/>
          <w:lang w:val="es-ES"/>
        </w:rPr>
        <w:t xml:space="preserve"> lingüística en el Antiguo Testamento</w:t>
      </w:r>
      <w:r w:rsidR="00F527CC">
        <w:rPr>
          <w:rFonts w:ascii="Times New Roman" w:hAnsi="Times New Roman" w:cs="Times New Roman"/>
          <w:lang w:val="es-ES"/>
        </w:rPr>
        <w:t>,</w:t>
      </w:r>
      <w:r w:rsidR="006E229F">
        <w:rPr>
          <w:rFonts w:ascii="Times New Roman" w:hAnsi="Times New Roman" w:cs="Times New Roman"/>
          <w:lang w:val="es-ES"/>
        </w:rPr>
        <w:t xml:space="preserve"> y </w:t>
      </w:r>
      <w:r w:rsidR="0065072B">
        <w:rPr>
          <w:rFonts w:ascii="Times New Roman" w:hAnsi="Times New Roman" w:cs="Times New Roman"/>
          <w:lang w:val="es-ES"/>
        </w:rPr>
        <w:t>así</w:t>
      </w:r>
      <w:r w:rsidR="006E229F">
        <w:rPr>
          <w:rFonts w:ascii="Times New Roman" w:hAnsi="Times New Roman" w:cs="Times New Roman"/>
          <w:lang w:val="es-ES"/>
        </w:rPr>
        <w:t xml:space="preserve"> es el único posible trasfondo para </w:t>
      </w:r>
      <w:r w:rsidR="00BC7FBA">
        <w:rPr>
          <w:rFonts w:ascii="Times New Roman" w:hAnsi="Times New Roman" w:cs="Times New Roman"/>
          <w:lang w:val="es-ES"/>
        </w:rPr>
        <w:t>la historia de Lucas que es compartida por toda su audiencia ideal. Est</w:t>
      </w:r>
      <w:r w:rsidR="0065072B">
        <w:rPr>
          <w:rFonts w:ascii="Times New Roman" w:hAnsi="Times New Roman" w:cs="Times New Roman"/>
          <w:lang w:val="es-ES"/>
        </w:rPr>
        <w:t>e</w:t>
      </w:r>
      <w:r w:rsidR="00BC7FBA">
        <w:rPr>
          <w:rFonts w:ascii="Times New Roman" w:hAnsi="Times New Roman" w:cs="Times New Roman"/>
          <w:lang w:val="es-ES"/>
        </w:rPr>
        <w:t xml:space="preserve"> es</w:t>
      </w:r>
      <w:r w:rsidR="00CA2993">
        <w:rPr>
          <w:rFonts w:ascii="Times New Roman" w:hAnsi="Times New Roman" w:cs="Times New Roman"/>
          <w:lang w:val="es-ES"/>
        </w:rPr>
        <w:t xml:space="preserve"> </w:t>
      </w:r>
      <w:r w:rsidR="00B5084C">
        <w:rPr>
          <w:rFonts w:ascii="Times New Roman" w:hAnsi="Times New Roman" w:cs="Times New Roman"/>
          <w:lang w:val="es-ES"/>
        </w:rPr>
        <w:t xml:space="preserve">el gran “milagro </w:t>
      </w:r>
      <w:r w:rsidR="0065072B">
        <w:rPr>
          <w:rFonts w:ascii="Times New Roman" w:hAnsi="Times New Roman" w:cs="Times New Roman"/>
          <w:lang w:val="es-ES"/>
        </w:rPr>
        <w:t>lingüístico</w:t>
      </w:r>
      <w:r w:rsidR="00B5084C">
        <w:rPr>
          <w:rFonts w:ascii="Times New Roman" w:hAnsi="Times New Roman" w:cs="Times New Roman"/>
          <w:lang w:val="es-ES"/>
        </w:rPr>
        <w:t xml:space="preserve">” de las Escrituras. (De seguro, la </w:t>
      </w:r>
      <w:r w:rsidR="0065072B">
        <w:rPr>
          <w:rFonts w:ascii="Times New Roman" w:hAnsi="Times New Roman" w:cs="Times New Roman"/>
          <w:lang w:val="es-ES"/>
        </w:rPr>
        <w:t>historia</w:t>
      </w:r>
      <w:r w:rsidR="00B5084C">
        <w:rPr>
          <w:rFonts w:ascii="Times New Roman" w:hAnsi="Times New Roman" w:cs="Times New Roman"/>
          <w:lang w:val="es-ES"/>
        </w:rPr>
        <w:t xml:space="preserve"> de Babel, </w:t>
      </w:r>
      <w:r w:rsidR="00C66FE0">
        <w:rPr>
          <w:rFonts w:ascii="Times New Roman" w:hAnsi="Times New Roman" w:cs="Times New Roman"/>
          <w:lang w:val="es-ES"/>
        </w:rPr>
        <w:t xml:space="preserve">al ser parte del muy popular libro de </w:t>
      </w:r>
      <w:r w:rsidR="0065072B">
        <w:rPr>
          <w:rFonts w:ascii="Times New Roman" w:hAnsi="Times New Roman" w:cs="Times New Roman"/>
          <w:lang w:val="es-ES"/>
        </w:rPr>
        <w:t>Génesis</w:t>
      </w:r>
      <w:r w:rsidR="00C66FE0">
        <w:rPr>
          <w:rFonts w:ascii="Times New Roman" w:hAnsi="Times New Roman" w:cs="Times New Roman"/>
          <w:lang w:val="es-ES"/>
        </w:rPr>
        <w:t>, fue contada una y otra vez y reaplicada a nuevos contextos.</w:t>
      </w:r>
      <w:r w:rsidR="00B5084C">
        <w:rPr>
          <w:rFonts w:ascii="Times New Roman" w:hAnsi="Times New Roman" w:cs="Times New Roman"/>
          <w:lang w:val="es-ES"/>
        </w:rPr>
        <w:t>)</w:t>
      </w:r>
    </w:p>
    <w:p w14:paraId="10130DA1" w14:textId="45FE852C" w:rsidR="00C66FE0" w:rsidRDefault="00C66FE0">
      <w:pPr>
        <w:rPr>
          <w:rFonts w:ascii="Times New Roman" w:hAnsi="Times New Roman" w:cs="Times New Roman"/>
          <w:lang w:val="es-ES"/>
        </w:rPr>
      </w:pPr>
    </w:p>
    <w:p w14:paraId="5047BEDA" w14:textId="75DD2506" w:rsidR="00C66FE0" w:rsidRPr="00C737EB" w:rsidRDefault="00E436E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Claro, hay diferencias claras entre las dos historias. </w:t>
      </w:r>
      <w:r w:rsidR="00D81B9A">
        <w:rPr>
          <w:rFonts w:ascii="Times New Roman" w:hAnsi="Times New Roman" w:cs="Times New Roman"/>
          <w:lang w:val="es-ES"/>
        </w:rPr>
        <w:t>Dios dispers</w:t>
      </w:r>
      <w:r w:rsidR="000D3618">
        <w:rPr>
          <w:rFonts w:ascii="Times New Roman" w:hAnsi="Times New Roman" w:cs="Times New Roman"/>
          <w:lang w:val="es-ES"/>
        </w:rPr>
        <w:t>ó</w:t>
      </w:r>
      <w:r w:rsidR="00D81B9A">
        <w:rPr>
          <w:rFonts w:ascii="Times New Roman" w:hAnsi="Times New Roman" w:cs="Times New Roman"/>
          <w:lang w:val="es-ES"/>
        </w:rPr>
        <w:t xml:space="preserve"> </w:t>
      </w:r>
      <w:r w:rsidR="00411294">
        <w:rPr>
          <w:rFonts w:ascii="Times New Roman" w:hAnsi="Times New Roman" w:cs="Times New Roman"/>
          <w:lang w:val="es-ES"/>
        </w:rPr>
        <w:t>las naciones en Babel por tratar de deificarse a s</w:t>
      </w:r>
      <w:r w:rsidR="000D3618">
        <w:rPr>
          <w:rFonts w:ascii="Times New Roman" w:hAnsi="Times New Roman" w:cs="Times New Roman"/>
          <w:lang w:val="es-ES"/>
        </w:rPr>
        <w:t>í</w:t>
      </w:r>
      <w:r w:rsidR="00411294">
        <w:rPr>
          <w:rFonts w:ascii="Times New Roman" w:hAnsi="Times New Roman" w:cs="Times New Roman"/>
          <w:lang w:val="es-ES"/>
        </w:rPr>
        <w:t xml:space="preserve"> mismos (Gen 11:4), lo cual es paralelo a la rebelión de </w:t>
      </w:r>
      <w:r w:rsidR="004759CB">
        <w:rPr>
          <w:rFonts w:ascii="Times New Roman" w:hAnsi="Times New Roman" w:cs="Times New Roman"/>
          <w:lang w:val="es-ES"/>
        </w:rPr>
        <w:t>Adán</w:t>
      </w:r>
      <w:r w:rsidR="00411294">
        <w:rPr>
          <w:rFonts w:ascii="Times New Roman" w:hAnsi="Times New Roman" w:cs="Times New Roman"/>
          <w:lang w:val="es-ES"/>
        </w:rPr>
        <w:t xml:space="preserve"> y su expulsión del jardín (3:5, 22–23). </w:t>
      </w:r>
      <w:r w:rsidR="00FF0240">
        <w:rPr>
          <w:rFonts w:ascii="Times New Roman" w:hAnsi="Times New Roman" w:cs="Times New Roman"/>
          <w:lang w:val="es-ES"/>
        </w:rPr>
        <w:t xml:space="preserve">Al contrario, los discípulos en </w:t>
      </w:r>
      <w:r w:rsidR="004759CB">
        <w:rPr>
          <w:rFonts w:ascii="Times New Roman" w:hAnsi="Times New Roman" w:cs="Times New Roman"/>
          <w:lang w:val="es-ES"/>
        </w:rPr>
        <w:t>Pentecostés</w:t>
      </w:r>
      <w:r w:rsidR="00FF0240">
        <w:rPr>
          <w:rFonts w:ascii="Times New Roman" w:hAnsi="Times New Roman" w:cs="Times New Roman"/>
          <w:lang w:val="es-ES"/>
        </w:rPr>
        <w:t xml:space="preserve"> están esperando por su </w:t>
      </w:r>
      <w:r w:rsidR="004759CB">
        <w:rPr>
          <w:rFonts w:ascii="Times New Roman" w:hAnsi="Times New Roman" w:cs="Times New Roman"/>
          <w:lang w:val="es-ES"/>
        </w:rPr>
        <w:t>Señor</w:t>
      </w:r>
      <w:r w:rsidR="00FF0240">
        <w:rPr>
          <w:rFonts w:ascii="Times New Roman" w:hAnsi="Times New Roman" w:cs="Times New Roman"/>
          <w:lang w:val="es-ES"/>
        </w:rPr>
        <w:t xml:space="preserve">, quien ha ascendido al cielo (1:9–11), para mandarles el </w:t>
      </w:r>
      <w:r w:rsidR="004759CB">
        <w:rPr>
          <w:rFonts w:ascii="Times New Roman" w:hAnsi="Times New Roman" w:cs="Times New Roman"/>
          <w:lang w:val="es-ES"/>
        </w:rPr>
        <w:t>Espíritu</w:t>
      </w:r>
      <w:r w:rsidR="00FF0240">
        <w:rPr>
          <w:rFonts w:ascii="Times New Roman" w:hAnsi="Times New Roman" w:cs="Times New Roman"/>
          <w:lang w:val="es-ES"/>
        </w:rPr>
        <w:t>. En Gen 11:7, Dios ha descendido para confundir a los transgresores (las palabras reflejan su rebelión en 11:3–4)</w:t>
      </w:r>
      <w:r w:rsidR="00772935">
        <w:rPr>
          <w:rFonts w:ascii="Times New Roman" w:hAnsi="Times New Roman" w:cs="Times New Roman"/>
          <w:lang w:val="es-ES"/>
        </w:rPr>
        <w:t xml:space="preserve">, pero en </w:t>
      </w:r>
      <w:r w:rsidR="004759CB">
        <w:rPr>
          <w:rFonts w:ascii="Times New Roman" w:hAnsi="Times New Roman" w:cs="Times New Roman"/>
          <w:lang w:val="es-ES"/>
        </w:rPr>
        <w:t>Pentecostés</w:t>
      </w:r>
      <w:r w:rsidR="00772935">
        <w:rPr>
          <w:rFonts w:ascii="Times New Roman" w:hAnsi="Times New Roman" w:cs="Times New Roman"/>
          <w:lang w:val="es-ES"/>
        </w:rPr>
        <w:t xml:space="preserve"> Dios desciende, en un sentido, en una manera diferente (Hechos 2:33). En </w:t>
      </w:r>
      <w:r w:rsidR="004759CB">
        <w:rPr>
          <w:rFonts w:ascii="Times New Roman" w:hAnsi="Times New Roman" w:cs="Times New Roman"/>
          <w:lang w:val="es-ES"/>
        </w:rPr>
        <w:t>Génesis</w:t>
      </w:r>
      <w:r w:rsidR="00772935">
        <w:rPr>
          <w:rFonts w:ascii="Times New Roman" w:hAnsi="Times New Roman" w:cs="Times New Roman"/>
          <w:lang w:val="es-ES"/>
        </w:rPr>
        <w:t xml:space="preserve">, Dios descendió y </w:t>
      </w:r>
      <w:r w:rsidR="00530909">
        <w:rPr>
          <w:rFonts w:ascii="Times New Roman" w:hAnsi="Times New Roman" w:cs="Times New Roman"/>
          <w:lang w:val="es-ES"/>
        </w:rPr>
        <w:t>esparció</w:t>
      </w:r>
      <w:r w:rsidR="00D53B0A">
        <w:rPr>
          <w:rFonts w:ascii="Times New Roman" w:hAnsi="Times New Roman" w:cs="Times New Roman"/>
          <w:lang w:val="es-ES"/>
        </w:rPr>
        <w:t xml:space="preserve"> las lenguas para prevenir unidad; en Hechos, el </w:t>
      </w:r>
      <w:r w:rsidR="00530909">
        <w:rPr>
          <w:rFonts w:ascii="Times New Roman" w:hAnsi="Times New Roman" w:cs="Times New Roman"/>
          <w:lang w:val="es-ES"/>
        </w:rPr>
        <w:t>Espíritu</w:t>
      </w:r>
      <w:r w:rsidR="00D53B0A">
        <w:rPr>
          <w:rFonts w:ascii="Times New Roman" w:hAnsi="Times New Roman" w:cs="Times New Roman"/>
          <w:lang w:val="es-ES"/>
        </w:rPr>
        <w:t xml:space="preserve"> desciende y dispersa lenguas para crear unidad multicultural (1:14; 2:1, 42, 44–46).</w:t>
      </w:r>
    </w:p>
    <w:sectPr w:rsidR="00C66FE0" w:rsidRPr="00C737EB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EB"/>
    <w:rsid w:val="000D3618"/>
    <w:rsid w:val="003172DB"/>
    <w:rsid w:val="00361378"/>
    <w:rsid w:val="003704F1"/>
    <w:rsid w:val="003A04E0"/>
    <w:rsid w:val="00411294"/>
    <w:rsid w:val="00424244"/>
    <w:rsid w:val="004349F2"/>
    <w:rsid w:val="00444493"/>
    <w:rsid w:val="00445827"/>
    <w:rsid w:val="004759CB"/>
    <w:rsid w:val="00530909"/>
    <w:rsid w:val="005C1C98"/>
    <w:rsid w:val="005F6CA5"/>
    <w:rsid w:val="0065072B"/>
    <w:rsid w:val="006E229F"/>
    <w:rsid w:val="00763C4B"/>
    <w:rsid w:val="00772935"/>
    <w:rsid w:val="00804172"/>
    <w:rsid w:val="0082561F"/>
    <w:rsid w:val="00886957"/>
    <w:rsid w:val="00890840"/>
    <w:rsid w:val="008C3C83"/>
    <w:rsid w:val="009F38B5"/>
    <w:rsid w:val="00AF40C9"/>
    <w:rsid w:val="00B12A62"/>
    <w:rsid w:val="00B5084C"/>
    <w:rsid w:val="00BA7AD2"/>
    <w:rsid w:val="00BC7FBA"/>
    <w:rsid w:val="00C66FE0"/>
    <w:rsid w:val="00C737EB"/>
    <w:rsid w:val="00CA2993"/>
    <w:rsid w:val="00CA7344"/>
    <w:rsid w:val="00CB0F41"/>
    <w:rsid w:val="00D53B0A"/>
    <w:rsid w:val="00D55FF7"/>
    <w:rsid w:val="00D81B9A"/>
    <w:rsid w:val="00D97711"/>
    <w:rsid w:val="00DA259B"/>
    <w:rsid w:val="00E27ADD"/>
    <w:rsid w:val="00E436E0"/>
    <w:rsid w:val="00EC3FDC"/>
    <w:rsid w:val="00F43511"/>
    <w:rsid w:val="00F527CC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9A14F"/>
  <w15:chartTrackingRefBased/>
  <w15:docId w15:val="{A196CBED-2F85-6F45-A0CD-0457185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Alberto Bonilla-Giovanetti</cp:lastModifiedBy>
  <cp:revision>43</cp:revision>
  <dcterms:created xsi:type="dcterms:W3CDTF">2021-04-02T15:12:00Z</dcterms:created>
  <dcterms:modified xsi:type="dcterms:W3CDTF">2021-04-02T17:18:00Z</dcterms:modified>
</cp:coreProperties>
</file>