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7EE7" w14:textId="1AF8CC62" w:rsidR="00B94505" w:rsidRDefault="006B43B3">
      <w:pPr>
        <w:rPr>
          <w:rFonts w:ascii="Times New Roman" w:hAnsi="Times New Roman" w:cs="Times New Roman"/>
        </w:rPr>
      </w:pPr>
      <w:r>
        <w:rPr>
          <w:rFonts w:ascii="Times New Roman" w:hAnsi="Times New Roman" w:cs="Times New Roman"/>
        </w:rPr>
        <w:t>Por Craig Keener</w:t>
      </w:r>
    </w:p>
    <w:p w14:paraId="55C5800D" w14:textId="4232E39E" w:rsidR="006B43B3" w:rsidRDefault="006B43B3">
      <w:pPr>
        <w:rPr>
          <w:rFonts w:ascii="Times New Roman" w:hAnsi="Times New Roman" w:cs="Times New Roman"/>
        </w:rPr>
      </w:pPr>
      <w:proofErr w:type="spellStart"/>
      <w:r>
        <w:rPr>
          <w:rFonts w:ascii="Times New Roman" w:hAnsi="Times New Roman" w:cs="Times New Roman"/>
        </w:rPr>
        <w:t>Traducido</w:t>
      </w:r>
      <w:proofErr w:type="spellEnd"/>
      <w:r>
        <w:rPr>
          <w:rFonts w:ascii="Times New Roman" w:hAnsi="Times New Roman" w:cs="Times New Roman"/>
        </w:rPr>
        <w:t xml:space="preserve"> por Alberto Bonilla-</w:t>
      </w:r>
      <w:proofErr w:type="spellStart"/>
      <w:r>
        <w:rPr>
          <w:rFonts w:ascii="Times New Roman" w:hAnsi="Times New Roman" w:cs="Times New Roman"/>
        </w:rPr>
        <w:t>Giovanetti</w:t>
      </w:r>
      <w:proofErr w:type="spellEnd"/>
    </w:p>
    <w:p w14:paraId="355306C8" w14:textId="6B0C92CA" w:rsidR="006B43B3" w:rsidRDefault="006B43B3">
      <w:pPr>
        <w:rPr>
          <w:rFonts w:ascii="Times New Roman" w:hAnsi="Times New Roman" w:cs="Times New Roman"/>
        </w:rPr>
      </w:pPr>
      <w:r>
        <w:rPr>
          <w:rFonts w:ascii="Times New Roman" w:hAnsi="Times New Roman" w:cs="Times New Roman"/>
        </w:rPr>
        <w:t>“Contextualization and Scripture: Understanding the Nature of Cross-Cultural Communication”</w:t>
      </w:r>
    </w:p>
    <w:p w14:paraId="5C683B34" w14:textId="25B4226B" w:rsidR="006B43B3" w:rsidRDefault="006B43B3">
      <w:pPr>
        <w:rPr>
          <w:rFonts w:ascii="Times New Roman" w:hAnsi="Times New Roman" w:cs="Times New Roman"/>
        </w:rPr>
      </w:pPr>
    </w:p>
    <w:p w14:paraId="0A992543" w14:textId="4E45272E" w:rsidR="006B43B3" w:rsidRDefault="006B43B3" w:rsidP="006B43B3">
      <w:pPr>
        <w:jc w:val="center"/>
        <w:rPr>
          <w:rFonts w:ascii="Times New Roman" w:hAnsi="Times New Roman" w:cs="Times New Roman"/>
          <w:lang w:val="es-ES"/>
        </w:rPr>
      </w:pPr>
      <w:proofErr w:type="spellStart"/>
      <w:r w:rsidRPr="006B43B3">
        <w:rPr>
          <w:rFonts w:ascii="Times New Roman" w:hAnsi="Times New Roman" w:cs="Times New Roman"/>
          <w:lang w:val="es-ES"/>
        </w:rPr>
        <w:t>Contextualizacion</w:t>
      </w:r>
      <w:proofErr w:type="spellEnd"/>
      <w:r w:rsidRPr="006B43B3">
        <w:rPr>
          <w:rFonts w:ascii="Times New Roman" w:hAnsi="Times New Roman" w:cs="Times New Roman"/>
          <w:lang w:val="es-ES"/>
        </w:rPr>
        <w:t xml:space="preserve"> y las Escrituras: Entendiendo la Naturale</w:t>
      </w:r>
      <w:r>
        <w:rPr>
          <w:rFonts w:ascii="Times New Roman" w:hAnsi="Times New Roman" w:cs="Times New Roman"/>
          <w:lang w:val="es-ES"/>
        </w:rPr>
        <w:t>za de la Comunicación Transcultural</w:t>
      </w:r>
    </w:p>
    <w:p w14:paraId="4DFCE7AD" w14:textId="7A50BB20" w:rsidR="006B43B3" w:rsidRDefault="006B43B3" w:rsidP="006B43B3">
      <w:pPr>
        <w:rPr>
          <w:rFonts w:ascii="Times New Roman" w:hAnsi="Times New Roman" w:cs="Times New Roman"/>
          <w:lang w:val="es-ES"/>
        </w:rPr>
      </w:pPr>
    </w:p>
    <w:p w14:paraId="0627AE51" w14:textId="5DB0F75C" w:rsidR="006B43B3" w:rsidRDefault="006B43B3" w:rsidP="006B43B3">
      <w:pPr>
        <w:rPr>
          <w:rFonts w:ascii="Times New Roman" w:hAnsi="Times New Roman" w:cs="Times New Roman"/>
          <w:lang w:val="es-ES"/>
        </w:rPr>
      </w:pPr>
      <w:r>
        <w:rPr>
          <w:rFonts w:ascii="Times New Roman" w:hAnsi="Times New Roman" w:cs="Times New Roman"/>
          <w:lang w:val="es-ES"/>
        </w:rPr>
        <w:t xml:space="preserve">Le pregunte a mi querido amigo, vecino y colega </w:t>
      </w:r>
      <w:proofErr w:type="spellStart"/>
      <w:r>
        <w:rPr>
          <w:rFonts w:ascii="Times New Roman" w:hAnsi="Times New Roman" w:cs="Times New Roman"/>
          <w:lang w:val="es-ES"/>
        </w:rPr>
        <w:t>misiólogo</w:t>
      </w:r>
      <w:proofErr w:type="spellEnd"/>
      <w:r>
        <w:rPr>
          <w:rFonts w:ascii="Times New Roman" w:hAnsi="Times New Roman" w:cs="Times New Roman"/>
          <w:lang w:val="es-ES"/>
        </w:rPr>
        <w:t xml:space="preserve"> en mi seminario antiguo, Samuel Escobar, donde podría ser útil los estudios bíblicos para la </w:t>
      </w:r>
      <w:proofErr w:type="spellStart"/>
      <w:r>
        <w:rPr>
          <w:rFonts w:ascii="Times New Roman" w:hAnsi="Times New Roman" w:cs="Times New Roman"/>
          <w:lang w:val="es-ES"/>
        </w:rPr>
        <w:t>misiología</w:t>
      </w:r>
      <w:proofErr w:type="spellEnd"/>
      <w:r>
        <w:rPr>
          <w:rFonts w:ascii="Times New Roman" w:hAnsi="Times New Roman" w:cs="Times New Roman"/>
          <w:lang w:val="es-ES"/>
        </w:rPr>
        <w:t xml:space="preserve">. Él sugirió que los estudios bíblicos pueden ayudar a los </w:t>
      </w:r>
      <w:proofErr w:type="spellStart"/>
      <w:r>
        <w:rPr>
          <w:rFonts w:ascii="Times New Roman" w:hAnsi="Times New Roman" w:cs="Times New Roman"/>
          <w:lang w:val="es-ES"/>
        </w:rPr>
        <w:t>misi</w:t>
      </w:r>
      <w:r w:rsidR="00416E29">
        <w:rPr>
          <w:rFonts w:ascii="Times New Roman" w:hAnsi="Times New Roman" w:cs="Times New Roman"/>
          <w:lang w:val="es-ES"/>
        </w:rPr>
        <w:t>ó</w:t>
      </w:r>
      <w:r>
        <w:rPr>
          <w:rFonts w:ascii="Times New Roman" w:hAnsi="Times New Roman" w:cs="Times New Roman"/>
          <w:lang w:val="es-ES"/>
        </w:rPr>
        <w:t>logos</w:t>
      </w:r>
      <w:proofErr w:type="spellEnd"/>
      <w:r>
        <w:rPr>
          <w:rFonts w:ascii="Times New Roman" w:hAnsi="Times New Roman" w:cs="Times New Roman"/>
          <w:lang w:val="es-ES"/>
        </w:rPr>
        <w:t xml:space="preserve"> a definir los limites entre la contextualización y el sincretismo. Ya que la Biblia entera tiene un contexto cultural, la Biblia entera nos ofrece modelos para una contextualización no sincretista.</w:t>
      </w:r>
    </w:p>
    <w:p w14:paraId="252B9BC7" w14:textId="1503D61F" w:rsidR="006B43B3" w:rsidRDefault="006B43B3" w:rsidP="006B43B3">
      <w:pPr>
        <w:rPr>
          <w:rFonts w:ascii="Times New Roman" w:hAnsi="Times New Roman" w:cs="Times New Roman"/>
          <w:lang w:val="es-ES"/>
        </w:rPr>
      </w:pPr>
    </w:p>
    <w:p w14:paraId="4F3A18E9" w14:textId="2F8D0D90" w:rsidR="006B43B3" w:rsidRDefault="006B43B3" w:rsidP="006B43B3">
      <w:pPr>
        <w:rPr>
          <w:rFonts w:ascii="Times New Roman" w:hAnsi="Times New Roman" w:cs="Times New Roman"/>
          <w:lang w:val="es-ES"/>
        </w:rPr>
      </w:pPr>
      <w:r>
        <w:rPr>
          <w:rFonts w:ascii="Times New Roman" w:hAnsi="Times New Roman" w:cs="Times New Roman"/>
          <w:lang w:val="es-ES"/>
        </w:rPr>
        <w:t>Aquellos de nosotros que aceptamos las Escrituras como revelación divina debemos reconocer que Dios se comunic</w:t>
      </w:r>
      <w:r w:rsidR="00416E29">
        <w:rPr>
          <w:rFonts w:ascii="Times New Roman" w:hAnsi="Times New Roman" w:cs="Times New Roman"/>
          <w:lang w:val="es-ES"/>
        </w:rPr>
        <w:t>ó</w:t>
      </w:r>
      <w:r>
        <w:rPr>
          <w:rFonts w:ascii="Times New Roman" w:hAnsi="Times New Roman" w:cs="Times New Roman"/>
          <w:lang w:val="es-ES"/>
        </w:rPr>
        <w:t xml:space="preserve"> de manera transcultural. </w:t>
      </w:r>
      <w:r w:rsidR="00355C4C">
        <w:rPr>
          <w:rFonts w:ascii="Times New Roman" w:hAnsi="Times New Roman" w:cs="Times New Roman"/>
          <w:lang w:val="es-ES"/>
        </w:rPr>
        <w:t>Toda comunicación tiene</w:t>
      </w:r>
      <w:r>
        <w:rPr>
          <w:rFonts w:ascii="Times New Roman" w:hAnsi="Times New Roman" w:cs="Times New Roman"/>
          <w:lang w:val="es-ES"/>
        </w:rPr>
        <w:t xml:space="preserve"> un contexto cultural; nadie se comunica o escucha</w:t>
      </w:r>
      <w:r w:rsidR="00416E29">
        <w:rPr>
          <w:rFonts w:ascii="Times New Roman" w:hAnsi="Times New Roman" w:cs="Times New Roman"/>
          <w:lang w:val="es-ES"/>
        </w:rPr>
        <w:t xml:space="preserve"> algo</w:t>
      </w:r>
      <w:r>
        <w:rPr>
          <w:rFonts w:ascii="Times New Roman" w:hAnsi="Times New Roman" w:cs="Times New Roman"/>
          <w:lang w:val="es-ES"/>
        </w:rPr>
        <w:t xml:space="preserve"> en un </w:t>
      </w:r>
      <w:r w:rsidR="00355C4C">
        <w:rPr>
          <w:rFonts w:ascii="Times New Roman" w:hAnsi="Times New Roman" w:cs="Times New Roman"/>
          <w:lang w:val="es-ES"/>
        </w:rPr>
        <w:t>vacío</w:t>
      </w:r>
      <w:r>
        <w:rPr>
          <w:rFonts w:ascii="Times New Roman" w:hAnsi="Times New Roman" w:cs="Times New Roman"/>
          <w:lang w:val="es-ES"/>
        </w:rPr>
        <w:t xml:space="preserve"> cultural. </w:t>
      </w:r>
      <w:r w:rsidR="00355C4C">
        <w:rPr>
          <w:rFonts w:ascii="Times New Roman" w:hAnsi="Times New Roman" w:cs="Times New Roman"/>
          <w:lang w:val="es-ES"/>
        </w:rPr>
        <w:t xml:space="preserve">En la medida en que deseamos oír </w:t>
      </w:r>
      <w:r w:rsidR="00416E29">
        <w:rPr>
          <w:rFonts w:ascii="Times New Roman" w:hAnsi="Times New Roman" w:cs="Times New Roman"/>
          <w:lang w:val="es-ES"/>
        </w:rPr>
        <w:t>l</w:t>
      </w:r>
      <w:r w:rsidR="00355C4C">
        <w:rPr>
          <w:rFonts w:ascii="Times New Roman" w:hAnsi="Times New Roman" w:cs="Times New Roman"/>
          <w:lang w:val="es-ES"/>
        </w:rPr>
        <w:t>a Biblia como un comunicado, entonces, debemos tomar en consideración su contexto cultural. La Biblia provee un sinfín de ejemplos de Dios identificándose con culturas—a veces incluso con respecto a los términos usados para diferentes tipos de sacrificios; formulas literarias usad</w:t>
      </w:r>
      <w:r w:rsidR="00416E29">
        <w:rPr>
          <w:rFonts w:ascii="Times New Roman" w:hAnsi="Times New Roman" w:cs="Times New Roman"/>
          <w:lang w:val="es-ES"/>
        </w:rPr>
        <w:t>a</w:t>
      </w:r>
      <w:r w:rsidR="00355C4C">
        <w:rPr>
          <w:rFonts w:ascii="Times New Roman" w:hAnsi="Times New Roman" w:cs="Times New Roman"/>
          <w:lang w:val="es-ES"/>
        </w:rPr>
        <w:t>s para oráculos; o Proverbios, Jesús y Pablo usando form</w:t>
      </w:r>
      <w:r w:rsidR="00416E29">
        <w:rPr>
          <w:rFonts w:ascii="Times New Roman" w:hAnsi="Times New Roman" w:cs="Times New Roman"/>
          <w:lang w:val="es-ES"/>
        </w:rPr>
        <w:t>ul</w:t>
      </w:r>
      <w:r w:rsidR="00355C4C">
        <w:rPr>
          <w:rFonts w:ascii="Times New Roman" w:hAnsi="Times New Roman" w:cs="Times New Roman"/>
          <w:lang w:val="es-ES"/>
        </w:rPr>
        <w:t>as retoricas de sabios contemporáneos. Sin embargo, también provee un sinfín de ejemplos de Dios desafiando la cultura, por ejemplo, en advertencias en contra de estatuas de dioses. La contextualización genuina no adopta simplemente todos los valores de la cultura anfitriona (una adopción que incluiría el sincretismo); en vez de eso, comunica el mensaje previo de Dios en el lenguaje y los dichos de la cultura local, haciendo que sus afirmaciones y sus demandas sean mas entendibles.</w:t>
      </w:r>
    </w:p>
    <w:p w14:paraId="2FE2E11F" w14:textId="2DE33A9B" w:rsidR="00355C4C" w:rsidRDefault="00355C4C" w:rsidP="006B43B3">
      <w:pPr>
        <w:rPr>
          <w:rFonts w:ascii="Times New Roman" w:hAnsi="Times New Roman" w:cs="Times New Roman"/>
          <w:lang w:val="es-ES"/>
        </w:rPr>
      </w:pPr>
    </w:p>
    <w:p w14:paraId="014C05B5" w14:textId="04E38541" w:rsidR="00355C4C" w:rsidRDefault="00355C4C" w:rsidP="006B43B3">
      <w:pPr>
        <w:rPr>
          <w:rFonts w:ascii="Times New Roman" w:hAnsi="Times New Roman" w:cs="Times New Roman"/>
          <w:lang w:val="es-ES"/>
        </w:rPr>
      </w:pPr>
      <w:r>
        <w:rPr>
          <w:rFonts w:ascii="Times New Roman" w:hAnsi="Times New Roman" w:cs="Times New Roman"/>
          <w:lang w:val="es-ES"/>
        </w:rPr>
        <w:t xml:space="preserve">Las cartas de Pablo abundan con una sensibilidad a situaciones locales o culturales. Por ejemplo, </w:t>
      </w:r>
      <w:r w:rsidR="00416E29">
        <w:rPr>
          <w:rFonts w:ascii="Times New Roman" w:hAnsi="Times New Roman" w:cs="Times New Roman"/>
          <w:lang w:val="es-ES"/>
        </w:rPr>
        <w:t>é</w:t>
      </w:r>
      <w:r>
        <w:rPr>
          <w:rFonts w:ascii="Times New Roman" w:hAnsi="Times New Roman" w:cs="Times New Roman"/>
          <w:lang w:val="es-ES"/>
        </w:rPr>
        <w:t>l afirm</w:t>
      </w:r>
      <w:r w:rsidR="00416E29">
        <w:rPr>
          <w:rFonts w:ascii="Times New Roman" w:hAnsi="Times New Roman" w:cs="Times New Roman"/>
          <w:lang w:val="es-ES"/>
        </w:rPr>
        <w:t>ó las</w:t>
      </w:r>
      <w:r>
        <w:rPr>
          <w:rFonts w:ascii="Times New Roman" w:hAnsi="Times New Roman" w:cs="Times New Roman"/>
          <w:lang w:val="es-ES"/>
        </w:rPr>
        <w:t xml:space="preserve"> cubiertas de cabello, las cuales representaban la modestia sexual para personas de clase baja en el este del Mediterráneo. Aunque muchos de nosotros hoy reconoceríamos que Pablo contextualiz</w:t>
      </w:r>
      <w:r w:rsidR="00416E29">
        <w:rPr>
          <w:rFonts w:ascii="Times New Roman" w:hAnsi="Times New Roman" w:cs="Times New Roman"/>
          <w:lang w:val="es-ES"/>
        </w:rPr>
        <w:t>ó</w:t>
      </w:r>
      <w:r>
        <w:rPr>
          <w:rFonts w:ascii="Times New Roman" w:hAnsi="Times New Roman" w:cs="Times New Roman"/>
          <w:lang w:val="es-ES"/>
        </w:rPr>
        <w:t xml:space="preserve"> el principio muy bien para su contexto, muchos de nosotros nos sentiríamos </w:t>
      </w:r>
      <w:r w:rsidR="00416E29">
        <w:rPr>
          <w:rFonts w:ascii="Times New Roman" w:hAnsi="Times New Roman" w:cs="Times New Roman"/>
          <w:lang w:val="es-ES"/>
        </w:rPr>
        <w:t>cómodos</w:t>
      </w:r>
      <w:r>
        <w:rPr>
          <w:rFonts w:ascii="Times New Roman" w:hAnsi="Times New Roman" w:cs="Times New Roman"/>
          <w:lang w:val="es-ES"/>
        </w:rPr>
        <w:t xml:space="preserve"> expresando la modestia sexual en maneras diferentes para culturas diferentes.</w:t>
      </w:r>
    </w:p>
    <w:p w14:paraId="0D713CD5" w14:textId="4C377ABD" w:rsidR="00355C4C" w:rsidRDefault="00355C4C" w:rsidP="006B43B3">
      <w:pPr>
        <w:rPr>
          <w:rFonts w:ascii="Times New Roman" w:hAnsi="Times New Roman" w:cs="Times New Roman"/>
          <w:lang w:val="es-ES"/>
        </w:rPr>
      </w:pPr>
    </w:p>
    <w:p w14:paraId="076C89D1" w14:textId="79A3BECD" w:rsidR="00355C4C" w:rsidRPr="006B43B3" w:rsidRDefault="00355C4C" w:rsidP="006B43B3">
      <w:pPr>
        <w:rPr>
          <w:rFonts w:ascii="Times New Roman" w:hAnsi="Times New Roman" w:cs="Times New Roman"/>
          <w:lang w:val="es-ES"/>
        </w:rPr>
      </w:pPr>
      <w:r>
        <w:rPr>
          <w:rFonts w:ascii="Times New Roman" w:hAnsi="Times New Roman" w:cs="Times New Roman"/>
          <w:lang w:val="es-ES"/>
        </w:rPr>
        <w:t>Pero la contextualización requiere interpretación, y algunos matices</w:t>
      </w:r>
      <w:r w:rsidR="00416E29">
        <w:rPr>
          <w:rFonts w:ascii="Times New Roman" w:hAnsi="Times New Roman" w:cs="Times New Roman"/>
          <w:lang w:val="es-ES"/>
        </w:rPr>
        <w:t xml:space="preserve"> y conexiones con imágenes mas tempranas son necesariamente perdidas en este proceso. Así, una tensión dinámica permanece. Aun así, el Espíritu nos ayuda en la interpretación (cf. 1 Corintios 2:11–13; 2 Corintios 3:14–18). De seguro, aún cuando meramente tenemos imágenes conceptuales del mundo futuro, por ejemplo, podemos participar de manera experiencial una probadita de ese mundo a través del Espíritu (1 Corintios 2:9–10).</w:t>
      </w:r>
    </w:p>
    <w:sectPr w:rsidR="00355C4C" w:rsidRPr="006B43B3"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B3"/>
    <w:rsid w:val="00355C4C"/>
    <w:rsid w:val="003704F1"/>
    <w:rsid w:val="00416E29"/>
    <w:rsid w:val="006B43B3"/>
    <w:rsid w:val="00F43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5FC2924"/>
  <w15:chartTrackingRefBased/>
  <w15:docId w15:val="{A910F0DB-38B8-CF42-8322-9C2FB37B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cp:revision>
  <dcterms:created xsi:type="dcterms:W3CDTF">2021-04-30T20:22:00Z</dcterms:created>
  <dcterms:modified xsi:type="dcterms:W3CDTF">2021-04-30T20:51:00Z</dcterms:modified>
</cp:coreProperties>
</file>